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402"/>
        <w:gridCol w:w="3969"/>
      </w:tblGrid>
      <w:tr w:rsidR="004330ED" w14:paraId="0AF159C4" w14:textId="77777777" w:rsidTr="00EA1CE4">
        <w:tc>
          <w:tcPr>
            <w:tcW w:w="6379" w:type="dxa"/>
            <w:gridSpan w:val="2"/>
            <w:tcBorders>
              <w:top w:val="nil"/>
              <w:left w:val="nil"/>
              <w:bottom w:val="nil"/>
              <w:right w:val="nil"/>
            </w:tcBorders>
            <w:vAlign w:val="center"/>
          </w:tcPr>
          <w:p w14:paraId="417DA7DB" w14:textId="77777777" w:rsidR="004330ED" w:rsidRDefault="004330ED" w:rsidP="00EA1CE4">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14:paraId="0C9D55CD" w14:textId="77777777" w:rsidR="004330ED" w:rsidRDefault="004330ED" w:rsidP="006E0971">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14:paraId="646F19F8" w14:textId="77777777" w:rsidTr="00EA1CE4">
        <w:trPr>
          <w:cantSplit/>
        </w:trPr>
        <w:tc>
          <w:tcPr>
            <w:tcW w:w="10348" w:type="dxa"/>
            <w:gridSpan w:val="3"/>
            <w:tcBorders>
              <w:top w:val="single" w:sz="4" w:space="0" w:color="auto"/>
              <w:left w:val="nil"/>
              <w:bottom w:val="nil"/>
              <w:right w:val="nil"/>
            </w:tcBorders>
          </w:tcPr>
          <w:p w14:paraId="680D61D5" w14:textId="77777777" w:rsidR="004330ED" w:rsidRDefault="004330ED" w:rsidP="00212E0A">
            <w:pPr>
              <w:pStyle w:val="Amendement"/>
              <w:tabs>
                <w:tab w:val="clear" w:pos="3310"/>
                <w:tab w:val="clear" w:pos="3600"/>
              </w:tabs>
              <w:rPr>
                <w:rFonts w:ascii="Times New Roman" w:hAnsi="Times New Roman"/>
              </w:rPr>
            </w:pPr>
            <w:r>
              <w:rPr>
                <w:rFonts w:ascii="Times New Roman" w:hAnsi="Times New Roman"/>
                <w:b w:val="0"/>
              </w:rPr>
              <w:t>Vergaderjaar 20</w:t>
            </w:r>
            <w:r w:rsidR="00501109">
              <w:rPr>
                <w:rFonts w:ascii="Times New Roman" w:hAnsi="Times New Roman"/>
                <w:b w:val="0"/>
              </w:rPr>
              <w:t>1</w:t>
            </w:r>
            <w:r w:rsidR="00212E0A">
              <w:rPr>
                <w:rFonts w:ascii="Times New Roman" w:hAnsi="Times New Roman"/>
                <w:b w:val="0"/>
              </w:rPr>
              <w:t>9</w:t>
            </w:r>
            <w:r w:rsidR="005A6097">
              <w:rPr>
                <w:rFonts w:ascii="Times New Roman" w:hAnsi="Times New Roman"/>
                <w:b w:val="0"/>
              </w:rPr>
              <w:t>-20</w:t>
            </w:r>
            <w:r w:rsidR="00212E0A">
              <w:rPr>
                <w:rFonts w:ascii="Times New Roman" w:hAnsi="Times New Roman"/>
                <w:b w:val="0"/>
              </w:rPr>
              <w:t>20</w:t>
            </w:r>
          </w:p>
        </w:tc>
      </w:tr>
      <w:tr w:rsidR="004330ED" w14:paraId="7299C22E" w14:textId="77777777" w:rsidTr="00EA1CE4">
        <w:trPr>
          <w:cantSplit/>
        </w:trPr>
        <w:tc>
          <w:tcPr>
            <w:tcW w:w="10348" w:type="dxa"/>
            <w:gridSpan w:val="3"/>
            <w:tcBorders>
              <w:top w:val="nil"/>
              <w:left w:val="nil"/>
              <w:bottom w:val="nil"/>
              <w:right w:val="nil"/>
            </w:tcBorders>
          </w:tcPr>
          <w:p w14:paraId="15442706" w14:textId="77777777" w:rsidR="004330ED" w:rsidRDefault="004330ED" w:rsidP="00BF623B">
            <w:pPr>
              <w:pStyle w:val="Amendement"/>
              <w:tabs>
                <w:tab w:val="clear" w:pos="3310"/>
                <w:tab w:val="clear" w:pos="3600"/>
              </w:tabs>
              <w:rPr>
                <w:rFonts w:ascii="Times New Roman" w:hAnsi="Times New Roman"/>
                <w:b w:val="0"/>
              </w:rPr>
            </w:pPr>
          </w:p>
        </w:tc>
      </w:tr>
      <w:tr w:rsidR="004330ED" w14:paraId="21045677" w14:textId="77777777" w:rsidTr="00EA1CE4">
        <w:trPr>
          <w:cantSplit/>
        </w:trPr>
        <w:tc>
          <w:tcPr>
            <w:tcW w:w="10348" w:type="dxa"/>
            <w:gridSpan w:val="3"/>
            <w:tcBorders>
              <w:top w:val="nil"/>
              <w:left w:val="nil"/>
              <w:bottom w:val="single" w:sz="4" w:space="0" w:color="auto"/>
              <w:right w:val="nil"/>
            </w:tcBorders>
          </w:tcPr>
          <w:p w14:paraId="0FBB56F9" w14:textId="77777777" w:rsidR="004330ED" w:rsidRDefault="004330ED" w:rsidP="00BF623B">
            <w:pPr>
              <w:pStyle w:val="Amendement"/>
              <w:tabs>
                <w:tab w:val="clear" w:pos="3310"/>
                <w:tab w:val="clear" w:pos="3600"/>
              </w:tabs>
              <w:rPr>
                <w:rFonts w:ascii="Times New Roman" w:hAnsi="Times New Roman"/>
              </w:rPr>
            </w:pPr>
          </w:p>
        </w:tc>
      </w:tr>
      <w:tr w:rsidR="004330ED" w14:paraId="627014D3"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3E75DC10" w14:textId="77777777" w:rsidR="004330ED" w:rsidRDefault="004330ED" w:rsidP="006E0971">
            <w:pPr>
              <w:pStyle w:val="Amendement"/>
              <w:tabs>
                <w:tab w:val="clear" w:pos="3310"/>
                <w:tab w:val="clear" w:pos="3600"/>
              </w:tabs>
              <w:rPr>
                <w:rFonts w:ascii="Times New Roman" w:hAnsi="Times New Roman"/>
              </w:rPr>
            </w:pPr>
          </w:p>
        </w:tc>
        <w:tc>
          <w:tcPr>
            <w:tcW w:w="7371" w:type="dxa"/>
            <w:gridSpan w:val="2"/>
          </w:tcPr>
          <w:p w14:paraId="4A881A91" w14:textId="77777777" w:rsidR="004330ED" w:rsidRDefault="004330ED" w:rsidP="006E0971">
            <w:pPr>
              <w:suppressAutoHyphens/>
              <w:ind w:left="-70"/>
              <w:rPr>
                <w:b/>
              </w:rPr>
            </w:pPr>
          </w:p>
        </w:tc>
      </w:tr>
      <w:tr w:rsidR="003C21AC" w14:paraId="4C3052E8"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00DBCEEE" w14:textId="77777777" w:rsidR="003C21AC" w:rsidRPr="00C035D4" w:rsidRDefault="00487917" w:rsidP="00EA1CE4">
            <w:pPr>
              <w:pStyle w:val="Amendement"/>
              <w:tabs>
                <w:tab w:val="clear" w:pos="3310"/>
                <w:tab w:val="clear" w:pos="3600"/>
              </w:tabs>
              <w:rPr>
                <w:rFonts w:ascii="Times New Roman" w:hAnsi="Times New Roman"/>
              </w:rPr>
            </w:pPr>
            <w:r>
              <w:rPr>
                <w:rFonts w:ascii="Times New Roman" w:hAnsi="Times New Roman"/>
              </w:rPr>
              <w:t>35 322</w:t>
            </w:r>
          </w:p>
        </w:tc>
        <w:tc>
          <w:tcPr>
            <w:tcW w:w="7371" w:type="dxa"/>
            <w:gridSpan w:val="2"/>
          </w:tcPr>
          <w:p w14:paraId="0B9E1FA2" w14:textId="77777777" w:rsidR="003C21AC" w:rsidRPr="00487917" w:rsidRDefault="00487917" w:rsidP="00487917">
            <w:pPr>
              <w:rPr>
                <w:b/>
              </w:rPr>
            </w:pPr>
            <w:r w:rsidRPr="00487917">
              <w:rPr>
                <w:b/>
              </w:rPr>
              <w:t>Voorstel tot algehele herziening van het Reglement van Orde</w:t>
            </w:r>
          </w:p>
        </w:tc>
      </w:tr>
      <w:tr w:rsidR="003C21AC" w14:paraId="545556EB"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74E97771" w14:textId="77777777" w:rsidR="003C21AC" w:rsidRPr="00C035D4" w:rsidRDefault="003C21AC" w:rsidP="006E0971">
            <w:pPr>
              <w:pStyle w:val="Amendement"/>
              <w:tabs>
                <w:tab w:val="clear" w:pos="3310"/>
                <w:tab w:val="clear" w:pos="3600"/>
              </w:tabs>
              <w:rPr>
                <w:rFonts w:ascii="Times New Roman" w:hAnsi="Times New Roman"/>
              </w:rPr>
            </w:pPr>
          </w:p>
        </w:tc>
        <w:tc>
          <w:tcPr>
            <w:tcW w:w="7371" w:type="dxa"/>
            <w:gridSpan w:val="2"/>
          </w:tcPr>
          <w:p w14:paraId="3B981473" w14:textId="77777777" w:rsidR="003C21AC" w:rsidRPr="00C035D4" w:rsidRDefault="003C21AC" w:rsidP="006E0971">
            <w:pPr>
              <w:pStyle w:val="Amendement"/>
              <w:tabs>
                <w:tab w:val="clear" w:pos="3310"/>
                <w:tab w:val="clear" w:pos="3600"/>
              </w:tabs>
              <w:ind w:left="-70"/>
              <w:rPr>
                <w:rFonts w:ascii="Times New Roman" w:hAnsi="Times New Roman"/>
              </w:rPr>
            </w:pPr>
          </w:p>
        </w:tc>
      </w:tr>
      <w:tr w:rsidR="003C21AC" w14:paraId="785A2462"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68F458B9" w14:textId="77777777" w:rsidR="003C21AC" w:rsidRPr="00C035D4" w:rsidRDefault="003C21AC" w:rsidP="006E0971">
            <w:pPr>
              <w:pStyle w:val="Amendement"/>
              <w:tabs>
                <w:tab w:val="clear" w:pos="3310"/>
                <w:tab w:val="clear" w:pos="3600"/>
              </w:tabs>
              <w:rPr>
                <w:rFonts w:ascii="Times New Roman" w:hAnsi="Times New Roman"/>
              </w:rPr>
            </w:pPr>
          </w:p>
        </w:tc>
        <w:tc>
          <w:tcPr>
            <w:tcW w:w="7371" w:type="dxa"/>
            <w:gridSpan w:val="2"/>
          </w:tcPr>
          <w:p w14:paraId="00FCABDE" w14:textId="77777777" w:rsidR="003C21AC" w:rsidRPr="00C035D4" w:rsidRDefault="003C21AC" w:rsidP="006E0971">
            <w:pPr>
              <w:pStyle w:val="Amendement"/>
              <w:tabs>
                <w:tab w:val="clear" w:pos="3310"/>
                <w:tab w:val="clear" w:pos="3600"/>
              </w:tabs>
              <w:ind w:left="-70"/>
              <w:rPr>
                <w:rFonts w:ascii="Times New Roman" w:hAnsi="Times New Roman"/>
              </w:rPr>
            </w:pPr>
          </w:p>
        </w:tc>
      </w:tr>
      <w:tr w:rsidR="003C21AC" w14:paraId="6AE1AF11"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3532C169" w14:textId="77777777" w:rsidR="003C21AC" w:rsidRPr="00C035D4" w:rsidRDefault="003C21AC" w:rsidP="00487917">
            <w:pPr>
              <w:pStyle w:val="Amendement"/>
              <w:tabs>
                <w:tab w:val="clear" w:pos="3310"/>
                <w:tab w:val="clear" w:pos="3600"/>
              </w:tabs>
              <w:rPr>
                <w:rFonts w:ascii="Times New Roman" w:hAnsi="Times New Roman"/>
              </w:rPr>
            </w:pPr>
            <w:r w:rsidRPr="00C035D4">
              <w:rPr>
                <w:rFonts w:ascii="Times New Roman" w:hAnsi="Times New Roman"/>
              </w:rPr>
              <w:t xml:space="preserve">Nr. </w:t>
            </w:r>
            <w:r w:rsidR="00487917">
              <w:rPr>
                <w:rFonts w:ascii="Times New Roman" w:hAnsi="Times New Roman"/>
                <w:caps/>
              </w:rPr>
              <w:t>d66</w:t>
            </w:r>
            <w:r w:rsidR="00597703" w:rsidRPr="00C035D4">
              <w:rPr>
                <w:rFonts w:ascii="Times New Roman" w:hAnsi="Times New Roman"/>
                <w:caps/>
              </w:rPr>
              <w:t>-</w:t>
            </w:r>
            <w:r w:rsidR="00487917">
              <w:rPr>
                <w:rFonts w:ascii="Times New Roman" w:hAnsi="Times New Roman"/>
                <w:caps/>
              </w:rPr>
              <w:t>01</w:t>
            </w:r>
          </w:p>
        </w:tc>
        <w:tc>
          <w:tcPr>
            <w:tcW w:w="7371" w:type="dxa"/>
            <w:gridSpan w:val="2"/>
          </w:tcPr>
          <w:p w14:paraId="77329742" w14:textId="12505966" w:rsidR="003C21AC" w:rsidRPr="00C035D4" w:rsidRDefault="00F713BC" w:rsidP="00487917">
            <w:pPr>
              <w:pStyle w:val="Amendement"/>
              <w:tabs>
                <w:tab w:val="clear" w:pos="3310"/>
                <w:tab w:val="clear" w:pos="3600"/>
              </w:tabs>
              <w:ind w:left="-70"/>
              <w:rPr>
                <w:rFonts w:ascii="Times New Roman" w:hAnsi="Times New Roman"/>
                <w:caps/>
              </w:rPr>
            </w:pPr>
            <w:r>
              <w:rPr>
                <w:rFonts w:ascii="Times New Roman" w:hAnsi="Times New Roman"/>
                <w:caps/>
              </w:rPr>
              <w:t>AMENDEMENT VAN DE LE</w:t>
            </w:r>
            <w:r w:rsidR="003C21AC" w:rsidRPr="00C035D4">
              <w:rPr>
                <w:rFonts w:ascii="Times New Roman" w:hAnsi="Times New Roman"/>
                <w:caps/>
              </w:rPr>
              <w:t>D</w:t>
            </w:r>
            <w:r>
              <w:rPr>
                <w:rFonts w:ascii="Times New Roman" w:hAnsi="Times New Roman"/>
                <w:caps/>
              </w:rPr>
              <w:t>EN</w:t>
            </w:r>
            <w:r w:rsidR="003C21AC" w:rsidRPr="00C035D4">
              <w:rPr>
                <w:rFonts w:ascii="Times New Roman" w:hAnsi="Times New Roman"/>
                <w:caps/>
              </w:rPr>
              <w:t xml:space="preserve"> </w:t>
            </w:r>
            <w:r w:rsidR="00487917">
              <w:rPr>
                <w:rFonts w:ascii="Times New Roman" w:hAnsi="Times New Roman"/>
                <w:caps/>
              </w:rPr>
              <w:t>van meenen</w:t>
            </w:r>
            <w:r>
              <w:rPr>
                <w:rFonts w:ascii="Times New Roman" w:hAnsi="Times New Roman"/>
                <w:caps/>
              </w:rPr>
              <w:t xml:space="preserve"> EN </w:t>
            </w:r>
            <w:r w:rsidRPr="00F713BC">
              <w:rPr>
                <w:rFonts w:ascii="Times New Roman" w:hAnsi="Times New Roman"/>
                <w:caps/>
              </w:rPr>
              <w:t>Özütok</w:t>
            </w:r>
          </w:p>
        </w:tc>
      </w:tr>
      <w:tr w:rsidR="003C21AC" w14:paraId="3FC76BDA"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6F06152F" w14:textId="77777777" w:rsidR="003C21AC" w:rsidRDefault="003C21AC" w:rsidP="006E0971">
            <w:pPr>
              <w:pStyle w:val="Amendement"/>
              <w:tabs>
                <w:tab w:val="clear" w:pos="3310"/>
                <w:tab w:val="clear" w:pos="3600"/>
              </w:tabs>
              <w:rPr>
                <w:rFonts w:ascii="Times New Roman" w:hAnsi="Times New Roman"/>
              </w:rPr>
            </w:pPr>
          </w:p>
        </w:tc>
        <w:tc>
          <w:tcPr>
            <w:tcW w:w="7371" w:type="dxa"/>
            <w:gridSpan w:val="2"/>
          </w:tcPr>
          <w:p w14:paraId="5767AF93" w14:textId="77777777" w:rsidR="003C21AC" w:rsidRDefault="003C21AC" w:rsidP="006E097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0081" w:rsidRPr="004B5B90">
              <w:rPr>
                <w:rFonts w:ascii="Times New Roman" w:hAnsi="Times New Roman"/>
                <w:b w:val="0"/>
              </w:rPr>
              <w:fldChar w:fldCharType="begin"/>
            </w:r>
            <w:r w:rsidR="00830081" w:rsidRPr="004B5B90">
              <w:rPr>
                <w:rFonts w:ascii="Times New Roman" w:hAnsi="Times New Roman"/>
                <w:b w:val="0"/>
              </w:rPr>
              <w:instrText xml:space="preserve"> =  \* MERGEFORMAT </w:instrText>
            </w:r>
            <w:r w:rsidR="00830081" w:rsidRPr="004B5B90">
              <w:rPr>
                <w:rFonts w:ascii="Times New Roman" w:hAnsi="Times New Roman"/>
                <w:b w:val="0"/>
              </w:rPr>
              <w:fldChar w:fldCharType="separate"/>
            </w:r>
            <w:r w:rsidR="00830081" w:rsidRPr="004B5B90">
              <w:rPr>
                <w:rFonts w:ascii="Times New Roman" w:hAnsi="Times New Roman"/>
                <w:b w:val="0"/>
              </w:rPr>
              <w:t>[Datum]</w:t>
            </w:r>
            <w:r w:rsidR="00830081" w:rsidRPr="004B5B90">
              <w:rPr>
                <w:rFonts w:ascii="Times New Roman" w:hAnsi="Times New Roman"/>
                <w:b w:val="0"/>
              </w:rPr>
              <w:fldChar w:fldCharType="end"/>
            </w:r>
          </w:p>
        </w:tc>
      </w:tr>
      <w:tr w:rsidR="00B01BA6" w14:paraId="2D99DA1A"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7" w:type="dxa"/>
          </w:tcPr>
          <w:p w14:paraId="60814EAE" w14:textId="77777777" w:rsidR="00B01BA6" w:rsidRDefault="00B01BA6" w:rsidP="006E0971">
            <w:pPr>
              <w:pStyle w:val="Amendement"/>
              <w:tabs>
                <w:tab w:val="clear" w:pos="3310"/>
                <w:tab w:val="clear" w:pos="3600"/>
              </w:tabs>
              <w:rPr>
                <w:rFonts w:ascii="Times New Roman" w:hAnsi="Times New Roman"/>
              </w:rPr>
            </w:pPr>
          </w:p>
        </w:tc>
        <w:tc>
          <w:tcPr>
            <w:tcW w:w="7371" w:type="dxa"/>
            <w:gridSpan w:val="2"/>
          </w:tcPr>
          <w:p w14:paraId="5BB443CC" w14:textId="77777777" w:rsidR="00B01BA6" w:rsidRDefault="00B01BA6" w:rsidP="006E0971">
            <w:pPr>
              <w:pStyle w:val="Amendement"/>
              <w:tabs>
                <w:tab w:val="clear" w:pos="3310"/>
                <w:tab w:val="clear" w:pos="3600"/>
              </w:tabs>
              <w:ind w:left="-70"/>
              <w:rPr>
                <w:rFonts w:ascii="Times New Roman" w:hAnsi="Times New Roman"/>
                <w:b w:val="0"/>
              </w:rPr>
            </w:pPr>
          </w:p>
        </w:tc>
      </w:tr>
      <w:tr w:rsidR="00B01BA6" w:rsidRPr="00EA69AC" w14:paraId="75C6D4E1" w14:textId="77777777" w:rsidTr="00EA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3"/>
          </w:tcPr>
          <w:p w14:paraId="0250EDFE" w14:textId="77777777" w:rsidR="00B01BA6" w:rsidRPr="00EA69AC" w:rsidRDefault="00B01BA6" w:rsidP="0088452C">
            <w:pPr>
              <w:ind w:firstLine="284"/>
            </w:pPr>
            <w:r w:rsidRPr="00EA69AC">
              <w:t>De ondergetekende stelt het volgende amendement voor:</w:t>
            </w:r>
          </w:p>
        </w:tc>
      </w:tr>
    </w:tbl>
    <w:p w14:paraId="67E1B100" w14:textId="77777777" w:rsidR="005B1DCC" w:rsidRPr="00EA69AC" w:rsidRDefault="005B1DCC" w:rsidP="00BF623B"/>
    <w:p w14:paraId="5850481B" w14:textId="77777777" w:rsidR="005B1DCC" w:rsidRDefault="00B81FF5" w:rsidP="00B81FF5">
      <w:pPr>
        <w:ind w:firstLine="284"/>
      </w:pPr>
      <w:r>
        <w:t>Artikel 11.2</w:t>
      </w:r>
      <w:r w:rsidR="00726455">
        <w:t xml:space="preserve"> wordt </w:t>
      </w:r>
      <w:r>
        <w:t>als volgt gewijzigd</w:t>
      </w:r>
      <w:r w:rsidR="00726455">
        <w:t>:</w:t>
      </w:r>
    </w:p>
    <w:p w14:paraId="1AEB1E5C" w14:textId="77777777" w:rsidR="00B81FF5" w:rsidRDefault="00B81FF5" w:rsidP="00B81FF5"/>
    <w:p w14:paraId="48F86E23" w14:textId="77777777" w:rsidR="00B81FF5" w:rsidRDefault="00B81FF5" w:rsidP="00B81FF5">
      <w:r>
        <w:tab/>
        <w:t xml:space="preserve">1. Aan het opschrift wordt toegevoegd </w:t>
      </w:r>
      <w:r w:rsidR="007568DD">
        <w:t>“; hoorzitting kandidaat-</w:t>
      </w:r>
      <w:r>
        <w:t>bewindspersonen”.</w:t>
      </w:r>
    </w:p>
    <w:p w14:paraId="7DA60FD3" w14:textId="77777777" w:rsidR="00B81FF5" w:rsidRDefault="00B81FF5" w:rsidP="00B81FF5"/>
    <w:p w14:paraId="66BA0D0F" w14:textId="77777777" w:rsidR="00B81FF5" w:rsidRDefault="00B81FF5" w:rsidP="00B81FF5">
      <w:r>
        <w:tab/>
        <w:t>2. Voor de tekst wordt de aanduiding “1.” geplaatst.</w:t>
      </w:r>
    </w:p>
    <w:p w14:paraId="0A93D896" w14:textId="77777777" w:rsidR="00B81FF5" w:rsidRDefault="00B81FF5" w:rsidP="00B81FF5"/>
    <w:p w14:paraId="64E8A7B0" w14:textId="77777777" w:rsidR="00B81FF5" w:rsidRDefault="00B81FF5" w:rsidP="00B81FF5">
      <w:r>
        <w:tab/>
        <w:t>3. Er worden twee leden toegevoegd, luidende:</w:t>
      </w:r>
    </w:p>
    <w:p w14:paraId="4C7609CA" w14:textId="77777777" w:rsidR="00B81FF5" w:rsidRDefault="00B81FF5" w:rsidP="00B81FF5">
      <w:r>
        <w:tab/>
        <w:t>2. De Kam</w:t>
      </w:r>
      <w:r w:rsidR="007568DD">
        <w:t>er kan de formateur uit</w:t>
      </w:r>
      <w:r>
        <w:t>nodigen om o</w:t>
      </w:r>
      <w:r w:rsidR="007568DD">
        <w:t>ver de voordracht van kandidaat-</w:t>
      </w:r>
      <w:r>
        <w:t>bewindspersonen inlichtingen te verschaffen voordat zij worden benoemd.</w:t>
      </w:r>
    </w:p>
    <w:p w14:paraId="67627813" w14:textId="77777777" w:rsidR="00B81FF5" w:rsidRDefault="00B81FF5" w:rsidP="00B81FF5">
      <w:pPr>
        <w:ind w:firstLine="284"/>
      </w:pPr>
      <w:r>
        <w:t>3. De Kamer kan ter voorbereiding daarop hoorzitt</w:t>
      </w:r>
      <w:r w:rsidR="007568DD">
        <w:t>ingen organiseren met kandidaat-</w:t>
      </w:r>
      <w:r>
        <w:t>bewindspersonen.</w:t>
      </w:r>
    </w:p>
    <w:p w14:paraId="47A56E1B" w14:textId="77777777" w:rsidR="00EA1CE4" w:rsidRDefault="00EA1CE4" w:rsidP="00EA1CE4"/>
    <w:p w14:paraId="307DEFA8" w14:textId="77777777" w:rsidR="003C21AC" w:rsidRPr="00EA69AC" w:rsidRDefault="003C21AC" w:rsidP="00EA1CE4">
      <w:pPr>
        <w:rPr>
          <w:b/>
        </w:rPr>
      </w:pPr>
      <w:r w:rsidRPr="00EA69AC">
        <w:rPr>
          <w:b/>
        </w:rPr>
        <w:t>Toelichting</w:t>
      </w:r>
    </w:p>
    <w:p w14:paraId="6A5FBE72" w14:textId="77777777" w:rsidR="003C21AC" w:rsidRPr="00EA69AC" w:rsidRDefault="003C21AC" w:rsidP="00BF623B"/>
    <w:p w14:paraId="420DCFA3" w14:textId="7C2206E3" w:rsidR="0080486C" w:rsidRDefault="0080486C" w:rsidP="0080486C">
      <w:r>
        <w:t xml:space="preserve">Dit amendement regelt dat de Kamer hoorzittingen met kandidaat-bewindspersonen kan houden voorafgaand aan hun beëdiging. De indieners achten de mogelijkheid om kandidaat-bewindspersonen aan een publieke toets te kunnen onderwerpen om meerdere redenen wenselijk. </w:t>
      </w:r>
    </w:p>
    <w:p w14:paraId="26E38B24" w14:textId="77777777" w:rsidR="0080486C" w:rsidRDefault="0080486C" w:rsidP="0080486C"/>
    <w:p w14:paraId="025D9F47" w14:textId="358CCA85" w:rsidR="0080486C" w:rsidRDefault="0080486C" w:rsidP="0080486C">
      <w:r>
        <w:t xml:space="preserve">Allereerst is het huidige formatieproces nog altijd </w:t>
      </w:r>
      <w:r w:rsidR="00B03305">
        <w:t xml:space="preserve">zeer </w:t>
      </w:r>
      <w:r>
        <w:t>gesloten e</w:t>
      </w:r>
      <w:r w:rsidR="003F735E">
        <w:t>n omgeven door geheimzinnigheid.</w:t>
      </w:r>
      <w:r>
        <w:t xml:space="preserve"> </w:t>
      </w:r>
      <w:r w:rsidR="003F735E">
        <w:t>Dat past niet</w:t>
      </w:r>
      <w:r>
        <w:t xml:space="preserve"> bij de tijdsgeest.</w:t>
      </w:r>
      <w:r w:rsidRPr="007B3F6F">
        <w:t xml:space="preserve"> </w:t>
      </w:r>
      <w:r>
        <w:t xml:space="preserve">Door hoorzittingen met kandidaat-bewindspersonen mogelijk te maken ontstaat meer transparantie over </w:t>
      </w:r>
      <w:r w:rsidR="00695FDD">
        <w:t>hun benoeming</w:t>
      </w:r>
      <w:r>
        <w:t xml:space="preserve">. Dit is ook nodig, aangezien de integriteit en geschiktheid van de bewindspersonen essentieel is voor het goed functioneren van ons landsbestuur. </w:t>
      </w:r>
      <w:r w:rsidR="003F735E">
        <w:t>B</w:t>
      </w:r>
      <w:r w:rsidR="003F735E">
        <w:t xml:space="preserve">ewindspersonen </w:t>
      </w:r>
      <w:r>
        <w:t>vervullen</w:t>
      </w:r>
      <w:r w:rsidR="009C741F">
        <w:t xml:space="preserve"> </w:t>
      </w:r>
      <w:r>
        <w:t>een spilfunctie binnen onze democratische recht</w:t>
      </w:r>
      <w:r w:rsidR="00F54BF9">
        <w:t>s</w:t>
      </w:r>
      <w:r w:rsidR="003F735E">
        <w:t xml:space="preserve">staat. Vooralsnog is echter </w:t>
      </w:r>
      <w:r>
        <w:t xml:space="preserve">niet duidelijk </w:t>
      </w:r>
      <w:r w:rsidR="004775B3">
        <w:t>op basis waarvan</w:t>
      </w:r>
      <w:r w:rsidR="003F735E">
        <w:t xml:space="preserve"> zij</w:t>
      </w:r>
      <w:r>
        <w:t xml:space="preserve"> worden geselecteerd. Met een hoorzitting krijgen </w:t>
      </w:r>
      <w:r w:rsidRPr="0038155C">
        <w:t xml:space="preserve">volksvertegenwoordigers de </w:t>
      </w:r>
      <w:bookmarkStart w:id="0" w:name="_GoBack"/>
      <w:r w:rsidRPr="0038155C">
        <w:t xml:space="preserve">gelegenheid om </w:t>
      </w:r>
      <w:r>
        <w:t xml:space="preserve">de kandidaten te bevragen op hun geschiktheid voor de functie en het beleidsterrein, en op </w:t>
      </w:r>
      <w:bookmarkEnd w:id="0"/>
      <w:r>
        <w:t>hun handelswijze en</w:t>
      </w:r>
      <w:r w:rsidRPr="0038155C">
        <w:t xml:space="preserve"> opvattingen</w:t>
      </w:r>
      <w:r>
        <w:t xml:space="preserve"> in het verleden. Tevens </w:t>
      </w:r>
      <w:r w:rsidR="006C48AA">
        <w:t xml:space="preserve">biedt </w:t>
      </w:r>
      <w:r w:rsidR="00AF1A4F">
        <w:t>een hoorzitting</w:t>
      </w:r>
      <w:r>
        <w:t xml:space="preserve"> </w:t>
      </w:r>
      <w:r w:rsidRPr="0038155C">
        <w:t xml:space="preserve">de samenleving de kans </w:t>
      </w:r>
      <w:r>
        <w:t>om vooraf kennis te maken met een nieuwe bewindspersoon</w:t>
      </w:r>
      <w:r w:rsidRPr="0038155C">
        <w:t>.</w:t>
      </w:r>
      <w:r w:rsidRPr="007769A1">
        <w:t xml:space="preserve"> </w:t>
      </w:r>
      <w:r>
        <w:t>Zo kan dit amendement</w:t>
      </w:r>
      <w:r w:rsidRPr="0038155C">
        <w:t xml:space="preserve"> </w:t>
      </w:r>
      <w:r>
        <w:t xml:space="preserve">de </w:t>
      </w:r>
      <w:r w:rsidRPr="0038155C">
        <w:t xml:space="preserve">democratische controle en het mandaat van de </w:t>
      </w:r>
      <w:r>
        <w:t>betreffende kandidaat-bewinds</w:t>
      </w:r>
      <w:r w:rsidRPr="0038155C">
        <w:t>persoon</w:t>
      </w:r>
      <w:r>
        <w:t xml:space="preserve"> versterken</w:t>
      </w:r>
      <w:r w:rsidRPr="0038155C">
        <w:t>.</w:t>
      </w:r>
      <w:r>
        <w:t xml:space="preserve"> </w:t>
      </w:r>
    </w:p>
    <w:p w14:paraId="5CB406F0" w14:textId="77777777" w:rsidR="0080486C" w:rsidRDefault="0080486C" w:rsidP="0080486C"/>
    <w:p w14:paraId="017AFC1C" w14:textId="25BCA339" w:rsidR="0080486C" w:rsidRDefault="009C741F" w:rsidP="0080486C">
      <w:r>
        <w:t>De</w:t>
      </w:r>
      <w:r w:rsidR="0080486C">
        <w:t xml:space="preserve"> Tweede Kamer </w:t>
      </w:r>
      <w:r>
        <w:t xml:space="preserve">kan </w:t>
      </w:r>
      <w:r w:rsidR="00AF1A4F">
        <w:t>met</w:t>
      </w:r>
      <w:r w:rsidR="006C48AA">
        <w:t xml:space="preserve"> dit amendement</w:t>
      </w:r>
      <w:r>
        <w:t xml:space="preserve"> </w:t>
      </w:r>
      <w:r w:rsidR="00695FDD">
        <w:t xml:space="preserve">tevens </w:t>
      </w:r>
      <w:r w:rsidR="0080486C">
        <w:t xml:space="preserve">navolging geven aan goed lokaal en Europees voorbeeld. In veel gemeenteraden worden wethouders al </w:t>
      </w:r>
      <w:r>
        <w:t xml:space="preserve">standaard </w:t>
      </w:r>
      <w:r w:rsidR="0080486C">
        <w:t xml:space="preserve">gehoord alvorens te worden benoemd. En ook het Europees Parlement houdt reeds openbare hoorzittingen met de beoogde Eurocommissarissen. Daarbij biedt het eigen Reglement van Orde het Europees Parlement voldoende handvatten om de toekomstig bestuurders grondig te kunnen ondervragen op </w:t>
      </w:r>
      <w:r w:rsidR="006C48AA">
        <w:t xml:space="preserve">hun </w:t>
      </w:r>
      <w:r w:rsidR="0080486C">
        <w:t xml:space="preserve">bekwaamheid, ervaring en integriteit. </w:t>
      </w:r>
      <w:r w:rsidR="001C56EC">
        <w:t>T</w:t>
      </w:r>
      <w:r w:rsidR="0080486C">
        <w:t xml:space="preserve">ijdens de </w:t>
      </w:r>
      <w:r>
        <w:t xml:space="preserve">recente </w:t>
      </w:r>
      <w:r w:rsidR="0080486C">
        <w:t>formatie van de Europese Commissie</w:t>
      </w:r>
      <w:r w:rsidR="001C56EC" w:rsidRPr="001C56EC">
        <w:t xml:space="preserve"> </w:t>
      </w:r>
      <w:r w:rsidR="001C56EC">
        <w:t xml:space="preserve">bleek wederom </w:t>
      </w:r>
      <w:r w:rsidR="00695FDD">
        <w:t>het nut daarvan</w:t>
      </w:r>
      <w:r w:rsidR="001C56EC">
        <w:t>.</w:t>
      </w:r>
      <w:r w:rsidR="0080486C" w:rsidRPr="00482997">
        <w:t xml:space="preserve"> </w:t>
      </w:r>
      <w:r w:rsidR="0080486C" w:rsidRPr="000C6CD1">
        <w:t>De kandidatuur van drie Eurocommissarissen werd</w:t>
      </w:r>
      <w:r w:rsidR="0080486C">
        <w:t xml:space="preserve"> teruggetrokken nadat twijfels </w:t>
      </w:r>
      <w:r w:rsidR="006C48AA">
        <w:t xml:space="preserve">over hun geschiktheid </w:t>
      </w:r>
      <w:r w:rsidR="0080486C">
        <w:t xml:space="preserve">waren </w:t>
      </w:r>
      <w:r w:rsidR="006C48AA">
        <w:t>gerezen. B</w:t>
      </w:r>
      <w:r w:rsidR="0080486C">
        <w:t xml:space="preserve">ij een </w:t>
      </w:r>
      <w:r w:rsidR="0080486C" w:rsidRPr="000C6CD1">
        <w:t xml:space="preserve">aantal </w:t>
      </w:r>
      <w:r w:rsidR="006C48AA">
        <w:t xml:space="preserve">was dit </w:t>
      </w:r>
      <w:r w:rsidR="0080486C" w:rsidRPr="000C6CD1">
        <w:t>mede ingegeven door vraagtekens over de integriteit.</w:t>
      </w:r>
      <w:r w:rsidR="0080486C">
        <w:t xml:space="preserve"> Het door indieners voorgestelde amendement zou door </w:t>
      </w:r>
      <w:r w:rsidR="00F54BF9">
        <w:t>de</w:t>
      </w:r>
      <w:r w:rsidR="0080486C">
        <w:t xml:space="preserve"> </w:t>
      </w:r>
      <w:r w:rsidR="00F54BF9">
        <w:t>toetsing op integriteit</w:t>
      </w:r>
      <w:r w:rsidR="00AF1A4F">
        <w:t xml:space="preserve"> ook</w:t>
      </w:r>
      <w:r w:rsidR="0080486C">
        <w:t xml:space="preserve"> </w:t>
      </w:r>
      <w:r w:rsidR="006C48AA">
        <w:t xml:space="preserve">het risico op incidenten </w:t>
      </w:r>
      <w:r w:rsidR="0080486C">
        <w:t xml:space="preserve">op voorhand kunnen mitigeren. </w:t>
      </w:r>
    </w:p>
    <w:p w14:paraId="66267D42" w14:textId="77777777" w:rsidR="0080486C" w:rsidRDefault="0080486C" w:rsidP="0080486C"/>
    <w:p w14:paraId="6DA04AEE" w14:textId="3AB8F534" w:rsidR="0080486C" w:rsidRDefault="0080486C" w:rsidP="0080486C">
      <w:r>
        <w:lastRenderedPageBreak/>
        <w:t xml:space="preserve">Tot slot achten indieners het </w:t>
      </w:r>
      <w:r w:rsidR="00B03305">
        <w:t>goed om</w:t>
      </w:r>
      <w:r>
        <w:t xml:space="preserve"> te benadrukken dat dit amendement er niet naar streeft om de Tweede Kamer een medebeslissingsrecht te geven over de benoeming van bewindspersonen. De benoeming blijft ingevolge artikel 48 van de Grondwet voorbehouden a</w:t>
      </w:r>
      <w:r w:rsidR="00E11CD4">
        <w:t>an de minister-president en de Koning</w:t>
      </w:r>
      <w:r>
        <w:t>.</w:t>
      </w:r>
    </w:p>
    <w:p w14:paraId="39677EBA" w14:textId="77777777" w:rsidR="0080486C" w:rsidRPr="00EA69AC" w:rsidRDefault="0080486C" w:rsidP="0080486C"/>
    <w:p w14:paraId="52757F8F" w14:textId="77777777" w:rsidR="0080486C" w:rsidRDefault="0080486C" w:rsidP="0080486C">
      <w:r>
        <w:t>Van Meenen</w:t>
      </w:r>
    </w:p>
    <w:p w14:paraId="00AB7090" w14:textId="0D6D9E66" w:rsidR="0080486C" w:rsidRPr="005E3F0F" w:rsidRDefault="0080486C" w:rsidP="0080486C">
      <w:r w:rsidRPr="005E3F0F">
        <w:t>Özütok</w:t>
      </w:r>
    </w:p>
    <w:p w14:paraId="37C9EBAC" w14:textId="3426610F" w:rsidR="007769A1" w:rsidRDefault="0080486C" w:rsidP="00EA1CE4">
      <w:r>
        <w:t xml:space="preserve"> </w:t>
      </w:r>
    </w:p>
    <w:p w14:paraId="68FE03EB" w14:textId="77777777" w:rsidR="007769A1" w:rsidRDefault="007769A1" w:rsidP="00EA1CE4"/>
    <w:p w14:paraId="541441A4" w14:textId="6A9CA6F8" w:rsidR="007769A1" w:rsidRDefault="006C48AA" w:rsidP="00EA1CE4">
      <w:r>
        <w:t xml:space="preserve"> </w:t>
      </w:r>
    </w:p>
    <w:p w14:paraId="16BE6BC9" w14:textId="77777777" w:rsidR="00F54BF9" w:rsidRDefault="00F54BF9" w:rsidP="00EA1CE4"/>
    <w:p w14:paraId="7CBBFD0F" w14:textId="77777777" w:rsidR="007769A1" w:rsidRDefault="007769A1" w:rsidP="00EA1CE4"/>
    <w:p w14:paraId="2C13C6F5" w14:textId="773D23B3" w:rsidR="007769A1" w:rsidRDefault="00F713BC" w:rsidP="00EA1CE4">
      <w:r>
        <w:t xml:space="preserve"> </w:t>
      </w:r>
    </w:p>
    <w:p w14:paraId="418E8C54" w14:textId="77777777" w:rsidR="007769A1" w:rsidRDefault="007769A1" w:rsidP="00EA1CE4"/>
    <w:p w14:paraId="643D30DC" w14:textId="77777777" w:rsidR="007769A1" w:rsidRDefault="007769A1" w:rsidP="00EA1CE4"/>
    <w:p w14:paraId="78DC812C" w14:textId="77777777" w:rsidR="007769A1" w:rsidRDefault="007769A1" w:rsidP="00EA1CE4"/>
    <w:p w14:paraId="478B367E" w14:textId="77777777" w:rsidR="007769A1" w:rsidRDefault="007769A1" w:rsidP="00EA1CE4"/>
    <w:p w14:paraId="6B75ACBA" w14:textId="77777777" w:rsidR="007769A1" w:rsidRDefault="007769A1" w:rsidP="00EA1CE4"/>
    <w:p w14:paraId="1B2A8760" w14:textId="77777777" w:rsidR="007769A1" w:rsidRDefault="007769A1" w:rsidP="00EA1CE4"/>
    <w:p w14:paraId="6D8EDC7E" w14:textId="77777777" w:rsidR="007769A1" w:rsidRDefault="007769A1" w:rsidP="00EA1CE4"/>
    <w:p w14:paraId="50AA39AD" w14:textId="77777777" w:rsidR="007769A1" w:rsidRDefault="007769A1" w:rsidP="00EA1CE4"/>
    <w:p w14:paraId="42CCFB91" w14:textId="77777777" w:rsidR="007769A1" w:rsidRDefault="007769A1" w:rsidP="00EA1CE4"/>
    <w:p w14:paraId="24C05DF3" w14:textId="020B3C0C" w:rsidR="007769A1" w:rsidRDefault="006C48AA" w:rsidP="00EA1CE4">
      <w:r>
        <w:t xml:space="preserve"> </w:t>
      </w:r>
    </w:p>
    <w:p w14:paraId="094EE84C" w14:textId="77777777" w:rsidR="007769A1" w:rsidRDefault="007769A1" w:rsidP="00EA1CE4"/>
    <w:p w14:paraId="2EF811D7" w14:textId="77777777" w:rsidR="007769A1" w:rsidRDefault="007769A1" w:rsidP="00EA1CE4"/>
    <w:p w14:paraId="7C994AE4" w14:textId="1FDAF940" w:rsidR="004775B3" w:rsidRDefault="004775B3" w:rsidP="00EA1CE4"/>
    <w:p w14:paraId="143BEC5B" w14:textId="77777777" w:rsidR="007769A1" w:rsidRDefault="007769A1" w:rsidP="00EA1CE4"/>
    <w:p w14:paraId="13AA41D2" w14:textId="77777777" w:rsidR="007769A1" w:rsidRDefault="007769A1" w:rsidP="00EA1CE4"/>
    <w:p w14:paraId="2A9814FF" w14:textId="195988C8" w:rsidR="007769A1" w:rsidRDefault="007769A1" w:rsidP="00EA1CE4">
      <w:r>
        <w:t xml:space="preserve"> </w:t>
      </w:r>
    </w:p>
    <w:p w14:paraId="33DEAD83" w14:textId="77777777" w:rsidR="007769A1" w:rsidRDefault="007769A1" w:rsidP="00EA1CE4"/>
    <w:p w14:paraId="7A0899A6" w14:textId="77777777" w:rsidR="007769A1" w:rsidRDefault="007769A1" w:rsidP="00EA1CE4"/>
    <w:p w14:paraId="65D270CA" w14:textId="77777777" w:rsidR="007769A1" w:rsidRDefault="007769A1" w:rsidP="00EA1CE4"/>
    <w:p w14:paraId="4203CFB2" w14:textId="77777777" w:rsidR="007769A1" w:rsidRDefault="007769A1" w:rsidP="00EA1CE4"/>
    <w:p w14:paraId="6A4A9164" w14:textId="77777777" w:rsidR="007769A1" w:rsidRDefault="007769A1" w:rsidP="00EA1CE4"/>
    <w:p w14:paraId="475EB0DA" w14:textId="77777777" w:rsidR="007769A1" w:rsidRDefault="007769A1" w:rsidP="00EA1CE4"/>
    <w:p w14:paraId="7E75423D" w14:textId="77777777" w:rsidR="007769A1" w:rsidRDefault="007769A1" w:rsidP="00EA1CE4"/>
    <w:p w14:paraId="54E40BFC" w14:textId="77777777" w:rsidR="007769A1" w:rsidRDefault="007769A1" w:rsidP="00EA1CE4"/>
    <w:p w14:paraId="36886431" w14:textId="77777777" w:rsidR="007769A1" w:rsidRDefault="007769A1" w:rsidP="00EA1CE4"/>
    <w:p w14:paraId="0E2A8795" w14:textId="77777777" w:rsidR="007769A1" w:rsidRDefault="007769A1" w:rsidP="00EA1CE4"/>
    <w:p w14:paraId="6A29FCA1" w14:textId="77777777" w:rsidR="007769A1" w:rsidRDefault="007769A1" w:rsidP="00EA1CE4"/>
    <w:p w14:paraId="5805185E" w14:textId="77777777" w:rsidR="007769A1" w:rsidRDefault="007769A1" w:rsidP="00EA1CE4"/>
    <w:p w14:paraId="3DDC3C2A" w14:textId="77777777" w:rsidR="007769A1" w:rsidRDefault="007769A1" w:rsidP="00EA1CE4"/>
    <w:p w14:paraId="2FE6062B" w14:textId="3F74CD69" w:rsidR="006C48AA" w:rsidRDefault="006C48AA" w:rsidP="00EA1CE4"/>
    <w:p w14:paraId="0F84FF8B" w14:textId="77777777" w:rsidR="007769A1" w:rsidRDefault="007769A1" w:rsidP="00EA1CE4"/>
    <w:p w14:paraId="123E96F1" w14:textId="77777777" w:rsidR="007769A1" w:rsidRDefault="007769A1" w:rsidP="00EA1CE4"/>
    <w:p w14:paraId="2CDF8F26" w14:textId="77777777" w:rsidR="007769A1" w:rsidRDefault="007769A1" w:rsidP="00EA1CE4"/>
    <w:p w14:paraId="266B41FC" w14:textId="77777777" w:rsidR="007769A1" w:rsidRDefault="007769A1" w:rsidP="00EA1CE4"/>
    <w:p w14:paraId="533170FD" w14:textId="77777777" w:rsidR="007769A1" w:rsidRDefault="007769A1" w:rsidP="00EA1CE4"/>
    <w:p w14:paraId="66DF607D" w14:textId="77777777" w:rsidR="007769A1" w:rsidRDefault="007769A1" w:rsidP="00EA1CE4"/>
    <w:p w14:paraId="79007B1A" w14:textId="77777777" w:rsidR="007769A1" w:rsidRDefault="007769A1" w:rsidP="00EA1CE4"/>
    <w:p w14:paraId="140BEF54" w14:textId="77777777" w:rsidR="007769A1" w:rsidRDefault="007769A1" w:rsidP="00EA1CE4"/>
    <w:p w14:paraId="4B2323F8" w14:textId="7F8DE5E8" w:rsidR="007769A1" w:rsidRDefault="007769A1" w:rsidP="00EA1CE4"/>
    <w:sectPr w:rsidR="007769A1"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02B1A" w14:textId="77777777" w:rsidR="00487917" w:rsidRDefault="00487917">
      <w:pPr>
        <w:spacing w:line="20" w:lineRule="exact"/>
      </w:pPr>
    </w:p>
  </w:endnote>
  <w:endnote w:type="continuationSeparator" w:id="0">
    <w:p w14:paraId="24F45B7E" w14:textId="77777777" w:rsidR="00487917" w:rsidRDefault="00487917">
      <w:pPr>
        <w:pStyle w:val="Amendement"/>
      </w:pPr>
      <w:r>
        <w:rPr>
          <w:b w:val="0"/>
        </w:rPr>
        <w:t xml:space="preserve"> </w:t>
      </w:r>
    </w:p>
  </w:endnote>
  <w:endnote w:type="continuationNotice" w:id="1">
    <w:p w14:paraId="7B2A1E32" w14:textId="77777777" w:rsidR="00487917" w:rsidRDefault="004879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3B15D" w14:textId="77777777" w:rsidR="00487917" w:rsidRDefault="00487917">
      <w:pPr>
        <w:pStyle w:val="Amendement"/>
      </w:pPr>
      <w:r>
        <w:rPr>
          <w:b w:val="0"/>
        </w:rPr>
        <w:separator/>
      </w:r>
    </w:p>
  </w:footnote>
  <w:footnote w:type="continuationSeparator" w:id="0">
    <w:p w14:paraId="3031CAD5" w14:textId="77777777" w:rsidR="00487917" w:rsidRDefault="00487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17"/>
    <w:rsid w:val="00071879"/>
    <w:rsid w:val="000D17BF"/>
    <w:rsid w:val="00113180"/>
    <w:rsid w:val="00157CAF"/>
    <w:rsid w:val="001656EE"/>
    <w:rsid w:val="0016653D"/>
    <w:rsid w:val="001734CD"/>
    <w:rsid w:val="001C56EC"/>
    <w:rsid w:val="001E0E21"/>
    <w:rsid w:val="00212E0A"/>
    <w:rsid w:val="002153B0"/>
    <w:rsid w:val="0021777F"/>
    <w:rsid w:val="00241DD0"/>
    <w:rsid w:val="0026047C"/>
    <w:rsid w:val="0027592A"/>
    <w:rsid w:val="002A0713"/>
    <w:rsid w:val="002C6D12"/>
    <w:rsid w:val="00373815"/>
    <w:rsid w:val="0038155C"/>
    <w:rsid w:val="003A7F27"/>
    <w:rsid w:val="003C21AC"/>
    <w:rsid w:val="003C5218"/>
    <w:rsid w:val="003C7876"/>
    <w:rsid w:val="003E2F98"/>
    <w:rsid w:val="003F735E"/>
    <w:rsid w:val="0042574B"/>
    <w:rsid w:val="004330ED"/>
    <w:rsid w:val="004775B3"/>
    <w:rsid w:val="00481C91"/>
    <w:rsid w:val="00482997"/>
    <w:rsid w:val="00487917"/>
    <w:rsid w:val="004911E3"/>
    <w:rsid w:val="00497D57"/>
    <w:rsid w:val="004A7DD4"/>
    <w:rsid w:val="004B50D8"/>
    <w:rsid w:val="004B5B90"/>
    <w:rsid w:val="00501109"/>
    <w:rsid w:val="005703C9"/>
    <w:rsid w:val="00597703"/>
    <w:rsid w:val="005A6097"/>
    <w:rsid w:val="005B1DCC"/>
    <w:rsid w:val="005B2398"/>
    <w:rsid w:val="005B7323"/>
    <w:rsid w:val="005C25B9"/>
    <w:rsid w:val="005E3F0F"/>
    <w:rsid w:val="006267E6"/>
    <w:rsid w:val="006558D2"/>
    <w:rsid w:val="00672D25"/>
    <w:rsid w:val="006738BC"/>
    <w:rsid w:val="00695FDD"/>
    <w:rsid w:val="006C48AA"/>
    <w:rsid w:val="006D3E69"/>
    <w:rsid w:val="006E0971"/>
    <w:rsid w:val="00726455"/>
    <w:rsid w:val="007568DD"/>
    <w:rsid w:val="007709F6"/>
    <w:rsid w:val="00776201"/>
    <w:rsid w:val="007769A1"/>
    <w:rsid w:val="007965FC"/>
    <w:rsid w:val="007B3F6F"/>
    <w:rsid w:val="007D2608"/>
    <w:rsid w:val="0080486C"/>
    <w:rsid w:val="008164E5"/>
    <w:rsid w:val="00830081"/>
    <w:rsid w:val="008467D7"/>
    <w:rsid w:val="00852541"/>
    <w:rsid w:val="00865D47"/>
    <w:rsid w:val="0088452C"/>
    <w:rsid w:val="008D7DCB"/>
    <w:rsid w:val="009055DB"/>
    <w:rsid w:val="00905ECB"/>
    <w:rsid w:val="0096165D"/>
    <w:rsid w:val="009A409F"/>
    <w:rsid w:val="009B5845"/>
    <w:rsid w:val="009C0C1F"/>
    <w:rsid w:val="009C741F"/>
    <w:rsid w:val="00A10505"/>
    <w:rsid w:val="00A1288B"/>
    <w:rsid w:val="00A53203"/>
    <w:rsid w:val="00A66976"/>
    <w:rsid w:val="00A772EB"/>
    <w:rsid w:val="00AF1A4F"/>
    <w:rsid w:val="00B01BA6"/>
    <w:rsid w:val="00B03305"/>
    <w:rsid w:val="00B4708A"/>
    <w:rsid w:val="00B81FF5"/>
    <w:rsid w:val="00BF623B"/>
    <w:rsid w:val="00C035D4"/>
    <w:rsid w:val="00C679BF"/>
    <w:rsid w:val="00C81BBD"/>
    <w:rsid w:val="00CA054D"/>
    <w:rsid w:val="00CD3132"/>
    <w:rsid w:val="00CE27CD"/>
    <w:rsid w:val="00D134F3"/>
    <w:rsid w:val="00D47D01"/>
    <w:rsid w:val="00D774B3"/>
    <w:rsid w:val="00DD35A5"/>
    <w:rsid w:val="00DF68BE"/>
    <w:rsid w:val="00DF712A"/>
    <w:rsid w:val="00E069DD"/>
    <w:rsid w:val="00E11CD4"/>
    <w:rsid w:val="00E12D2F"/>
    <w:rsid w:val="00E21238"/>
    <w:rsid w:val="00E25DF4"/>
    <w:rsid w:val="00E3485D"/>
    <w:rsid w:val="00E6619B"/>
    <w:rsid w:val="00EA1CE4"/>
    <w:rsid w:val="00EA69AC"/>
    <w:rsid w:val="00EB40A1"/>
    <w:rsid w:val="00EC3112"/>
    <w:rsid w:val="00ED5E57"/>
    <w:rsid w:val="00EE1BD8"/>
    <w:rsid w:val="00F54BF9"/>
    <w:rsid w:val="00F713BC"/>
    <w:rsid w:val="00FA5BBE"/>
    <w:rsid w:val="00FC5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99A9"/>
  <w15:docId w15:val="{A339F0E1-0DB4-4CF0-BC7D-E7B3B714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81FF5"/>
    <w:pPr>
      <w:ind w:left="720"/>
      <w:contextualSpacing/>
    </w:pPr>
  </w:style>
  <w:style w:type="character" w:styleId="Verwijzingopmerking">
    <w:name w:val="annotation reference"/>
    <w:basedOn w:val="Standaardalinea-lettertype"/>
    <w:semiHidden/>
    <w:unhideWhenUsed/>
    <w:rsid w:val="00B81FF5"/>
    <w:rPr>
      <w:sz w:val="16"/>
      <w:szCs w:val="16"/>
    </w:rPr>
  </w:style>
  <w:style w:type="paragraph" w:styleId="Tekstopmerking">
    <w:name w:val="annotation text"/>
    <w:basedOn w:val="Standaard"/>
    <w:link w:val="TekstopmerkingChar"/>
    <w:semiHidden/>
    <w:unhideWhenUsed/>
    <w:rsid w:val="00B81FF5"/>
    <w:rPr>
      <w:sz w:val="20"/>
    </w:rPr>
  </w:style>
  <w:style w:type="character" w:customStyle="1" w:styleId="TekstopmerkingChar">
    <w:name w:val="Tekst opmerking Char"/>
    <w:basedOn w:val="Standaardalinea-lettertype"/>
    <w:link w:val="Tekstopmerking"/>
    <w:semiHidden/>
    <w:rsid w:val="00B81FF5"/>
  </w:style>
  <w:style w:type="paragraph" w:styleId="Onderwerpvanopmerking">
    <w:name w:val="annotation subject"/>
    <w:basedOn w:val="Tekstopmerking"/>
    <w:next w:val="Tekstopmerking"/>
    <w:link w:val="OnderwerpvanopmerkingChar"/>
    <w:semiHidden/>
    <w:unhideWhenUsed/>
    <w:rsid w:val="00B81FF5"/>
    <w:rPr>
      <w:b/>
      <w:bCs/>
    </w:rPr>
  </w:style>
  <w:style w:type="character" w:customStyle="1" w:styleId="OnderwerpvanopmerkingChar">
    <w:name w:val="Onderwerp van opmerking Char"/>
    <w:basedOn w:val="TekstopmerkingChar"/>
    <w:link w:val="Onderwerpvanopmerking"/>
    <w:semiHidden/>
    <w:rsid w:val="00B81FF5"/>
    <w:rPr>
      <w:b/>
      <w:bCs/>
    </w:rPr>
  </w:style>
  <w:style w:type="character" w:styleId="Voetnootmarkering">
    <w:name w:val="footnote reference"/>
    <w:basedOn w:val="Standaardalinea-lettertype"/>
    <w:unhideWhenUsed/>
    <w:rsid w:val="003A7F27"/>
    <w:rPr>
      <w:vertAlign w:val="superscript"/>
    </w:rPr>
  </w:style>
  <w:style w:type="character" w:customStyle="1" w:styleId="VoetnoottekstChar">
    <w:name w:val="Voetnoottekst Char"/>
    <w:basedOn w:val="Standaardalinea-lettertype"/>
    <w:link w:val="Voetnoottekst"/>
    <w:rsid w:val="00776201"/>
    <w:rPr>
      <w:sz w:val="24"/>
    </w:rPr>
  </w:style>
  <w:style w:type="character" w:styleId="Hyperlink">
    <w:name w:val="Hyperlink"/>
    <w:basedOn w:val="Standaardalinea-lettertype"/>
    <w:rsid w:val="007762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B9EB-42D8-4A53-97DB-157C9971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2795</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amt</vt:lpstr>
    </vt:vector>
  </TitlesOfParts>
  <Company>TK</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dc:title>
  <dc:creator>Smit, V.</dc:creator>
  <cp:lastModifiedBy>Arnoldus, B.</cp:lastModifiedBy>
  <cp:revision>2</cp:revision>
  <cp:lastPrinted>2005-08-22T11:50:00Z</cp:lastPrinted>
  <dcterms:created xsi:type="dcterms:W3CDTF">2020-08-31T14:07:00Z</dcterms:created>
  <dcterms:modified xsi:type="dcterms:W3CDTF">2020-08-31T14:07:00Z</dcterms:modified>
</cp:coreProperties>
</file>